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关于受理</w:t>
      </w:r>
      <w:r>
        <w:rPr>
          <w:rFonts w:hint="eastAsia" w:ascii="方正小标宋简体" w:eastAsia="方正小标宋简体"/>
          <w:sz w:val="44"/>
          <w:szCs w:val="44"/>
          <w:lang w:eastAsia="zh-CN"/>
        </w:rPr>
        <w:t>孟祥凤</w:t>
      </w:r>
      <w:r>
        <w:rPr>
          <w:rFonts w:hint="eastAsia" w:ascii="方正小标宋简体" w:eastAsia="方正小标宋简体"/>
          <w:sz w:val="44"/>
          <w:szCs w:val="44"/>
        </w:rPr>
        <w:t>涉嫌非法吸收公众</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存款一案的公告</w:t>
      </w:r>
    </w:p>
    <w:p>
      <w:pPr>
        <w:jc w:val="cente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犯罪嫌疑人</w:t>
      </w:r>
      <w:r>
        <w:rPr>
          <w:rFonts w:hint="default" w:ascii="Times New Roman" w:hAnsi="Times New Roman" w:eastAsia="仿宋_GB2312" w:cs="Times New Roman"/>
          <w:sz w:val="32"/>
          <w:szCs w:val="32"/>
          <w:lang w:eastAsia="zh-CN"/>
        </w:rPr>
        <w:t>孟祥凤</w:t>
      </w:r>
      <w:r>
        <w:rPr>
          <w:rFonts w:hint="default" w:ascii="Times New Roman" w:hAnsi="Times New Roman" w:eastAsia="仿宋_GB2312" w:cs="Times New Roman"/>
          <w:sz w:val="32"/>
          <w:szCs w:val="32"/>
        </w:rPr>
        <w:t>涉嫌非法吸收公众存款罪一案，已于202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日由天津市公安局蓟州分局移送我院审查起诉。</w:t>
      </w:r>
    </w:p>
    <w:p>
      <w:pPr>
        <w:widowControl/>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    一、依据《中华人民共和国刑事诉讼法》第一百七十一条规定，审查起诉阶段，人民检察院必须查明犯罪事实、情节是否清楚，证据是否确实、充分，犯罪性质和罪名的认定是否正确；有无遗漏罪行和其他应当追究刑事责任的人；是否属于不应追究刑事责任的；有无附带民事诉讼；侦查活动是否合法。第一百七十二条规定，</w:t>
      </w:r>
      <w:r>
        <w:rPr>
          <w:rFonts w:hint="default" w:ascii="Times New Roman" w:hAnsi="Times New Roman" w:eastAsia="仿宋_GB2312" w:cs="Times New Roman"/>
          <w:kern w:val="0"/>
          <w:sz w:val="32"/>
          <w:szCs w:val="32"/>
        </w:rPr>
        <w:t>人民检察院对于公安机关移送起诉的案件，应当在一个月以内作出决定，重大、复杂的案件，可以延长十五日。第一百七十五条规定，对于补充侦查的案件，应当在一个月以内补充侦查完毕。补充侦查以二次为限。补充侦查完毕移送人民检察院后，人民检察院重新计算审查起诉期限。</w:t>
      </w:r>
    </w:p>
    <w:p>
      <w:pPr>
        <w:widowControl/>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二、本案集资参与人如果尚未到公安机关陈述事实、做过询问笔录，可等待公安机关依次取证，也可主动到公安机关提供证据。</w:t>
      </w:r>
    </w:p>
    <w:p>
      <w:pPr>
        <w:widowControl/>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本案非法集资行为人（包括业务员、业务辅助人员、其他为吸收资金提供帮助人员）应将自己在上述公司经营期间收取的代理费、好处费、返点费、佣金、提成费、工资收入以及获得的其他经济利益立即退缴至天津市公安局蓟州分局。主动及时退缴的，依据宽严相济刑事政策，可以依法从宽处理；其中情节轻微的，可以免除处罚；情节显著轻微、危害不大的，不作为犯罪处理。</w:t>
      </w:r>
    </w:p>
    <w:p>
      <w:pPr>
        <w:widowControl/>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四、根据有关规定，查封、扣押、冻结的涉案财物，一般应在诉讼终结后返还集资参与人。</w:t>
      </w:r>
    </w:p>
    <w:p>
      <w:pPr>
        <w:widowControl/>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五、本案承办检察官：</w:t>
      </w:r>
      <w:r>
        <w:rPr>
          <w:rFonts w:hint="eastAsia" w:ascii="Times New Roman" w:hAnsi="Times New Roman" w:eastAsia="仿宋_GB2312" w:cs="Times New Roman"/>
          <w:kern w:val="0"/>
          <w:sz w:val="32"/>
          <w:szCs w:val="32"/>
          <w:lang w:eastAsia="zh-CN"/>
        </w:rPr>
        <w:t>陈山磊</w:t>
      </w:r>
      <w:bookmarkStart w:id="0" w:name="_GoBack"/>
      <w:bookmarkEnd w:id="0"/>
      <w:r>
        <w:rPr>
          <w:rFonts w:hint="default" w:ascii="Times New Roman" w:hAnsi="Times New Roman" w:eastAsia="仿宋_GB2312" w:cs="Times New Roman"/>
          <w:kern w:val="0"/>
          <w:sz w:val="32"/>
          <w:szCs w:val="32"/>
        </w:rPr>
        <w:t xml:space="preserve">  联系方式：60359017</w:t>
      </w:r>
    </w:p>
    <w:p>
      <w:pPr>
        <w:widowControl/>
        <w:spacing w:line="560" w:lineRule="exact"/>
        <w:ind w:firstLine="645"/>
        <w:rPr>
          <w:rFonts w:hint="default" w:ascii="Times New Roman" w:hAnsi="Times New Roman" w:eastAsia="仿宋_GB2312" w:cs="Times New Roman"/>
          <w:kern w:val="0"/>
          <w:sz w:val="32"/>
          <w:szCs w:val="32"/>
        </w:rPr>
      </w:pPr>
    </w:p>
    <w:p>
      <w:pPr>
        <w:widowControl/>
        <w:spacing w:line="560" w:lineRule="exact"/>
        <w:ind w:firstLine="645"/>
        <w:rPr>
          <w:rFonts w:hint="default" w:ascii="Times New Roman" w:hAnsi="Times New Roman" w:eastAsia="仿宋_GB2312" w:cs="Times New Roman"/>
          <w:kern w:val="0"/>
          <w:sz w:val="32"/>
          <w:szCs w:val="32"/>
        </w:rPr>
      </w:pPr>
    </w:p>
    <w:p>
      <w:pPr>
        <w:widowControl/>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天津市蓟州区人民检察院</w:t>
      </w:r>
    </w:p>
    <w:p>
      <w:pPr>
        <w:widowControl/>
        <w:spacing w:line="560" w:lineRule="exact"/>
        <w:ind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年1月</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311361"/>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4695"/>
    <w:rsid w:val="00187E44"/>
    <w:rsid w:val="00195DE8"/>
    <w:rsid w:val="002E5D8A"/>
    <w:rsid w:val="00424695"/>
    <w:rsid w:val="004462AB"/>
    <w:rsid w:val="005075B4"/>
    <w:rsid w:val="00536FBF"/>
    <w:rsid w:val="006B5F37"/>
    <w:rsid w:val="00727D98"/>
    <w:rsid w:val="00B105D8"/>
    <w:rsid w:val="00BC1E1A"/>
    <w:rsid w:val="00BD2598"/>
    <w:rsid w:val="00C1441C"/>
    <w:rsid w:val="00DE2494"/>
    <w:rsid w:val="00EB522F"/>
    <w:rsid w:val="00F74A56"/>
    <w:rsid w:val="00FB1BAE"/>
    <w:rsid w:val="00FE1494"/>
    <w:rsid w:val="6D6F1C78"/>
    <w:rsid w:val="73F6D2C3"/>
    <w:rsid w:val="773FC5AF"/>
    <w:rsid w:val="77B7804F"/>
    <w:rsid w:val="7ABE0C4E"/>
    <w:rsid w:val="7DFD9C91"/>
    <w:rsid w:val="7FFF6400"/>
    <w:rsid w:val="97B32FD1"/>
    <w:rsid w:val="BBDE432E"/>
    <w:rsid w:val="DDFEF600"/>
    <w:rsid w:val="DEAAC1B5"/>
    <w:rsid w:val="FFDBB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108</Words>
  <Characters>622</Characters>
  <Lines>5</Lines>
  <Paragraphs>1</Paragraphs>
  <TotalTime>27</TotalTime>
  <ScaleCrop>false</ScaleCrop>
  <LinksUpToDate>false</LinksUpToDate>
  <CharactersWithSpaces>729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2020-11-16T16:42:00Z</dcterms:created>
  <dc:creator>李连宏</dc:creator>
  <cp:lastModifiedBy>zhangguodong</cp:lastModifiedBy>
  <dcterms:modified xsi:type="dcterms:W3CDTF">2024-01-05T16:01:36Z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D1BACAF0D4DBF76B2BB497654EB0BA6D</vt:lpwstr>
  </property>
</Properties>
</file>